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255"/>
          <w:numId w:val="0"/>
        </w:numPr>
        <w:spacing w:after="0" w:line="560" w:lineRule="exact"/>
        <w:jc w:val="left"/>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附件1</w:t>
      </w:r>
    </w:p>
    <w:p>
      <w:pPr>
        <w:pStyle w:val="7"/>
        <w:numPr>
          <w:ilvl w:val="255"/>
          <w:numId w:val="0"/>
        </w:numPr>
        <w:spacing w:after="0" w:line="560" w:lineRule="exact"/>
        <w:jc w:val="left"/>
        <w:rPr>
          <w:rFonts w:hint="eastAsia" w:ascii="仿宋_GB2312" w:hAnsi="仿宋_GB2312" w:eastAsia="仿宋_GB2312" w:cs="仿宋_GB2312"/>
          <w:sz w:val="32"/>
          <w:szCs w:val="36"/>
        </w:rPr>
      </w:pPr>
      <w:r>
        <w:rPr>
          <w:rFonts w:hint="default" w:ascii="Times New Roman" w:hAnsi="Times New Roman" w:eastAsia="仿宋_GB2312" w:cs="Times New Roman"/>
          <w:sz w:val="32"/>
          <w:szCs w:val="36"/>
        </w:rPr>
        <w:t>Appendix 1</w:t>
      </w:r>
    </w:p>
    <w:p>
      <w:pPr>
        <w:pStyle w:val="7"/>
        <w:numPr>
          <w:ilvl w:val="255"/>
          <w:numId w:val="0"/>
        </w:num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供应商行为准则</w:t>
      </w:r>
    </w:p>
    <w:p>
      <w:pPr>
        <w:pStyle w:val="7"/>
        <w:numPr>
          <w:ilvl w:val="255"/>
          <w:numId w:val="0"/>
        </w:numPr>
        <w:spacing w:line="560" w:lineRule="exact"/>
        <w:jc w:val="center"/>
        <w:rPr>
          <w:rFonts w:hint="eastAsia" w:ascii="方正小标宋简体" w:hAnsi="方正小标宋简体" w:eastAsia="方正小标宋简体" w:cs="方正小标宋简体"/>
          <w:b/>
          <w:bCs/>
          <w:sz w:val="44"/>
          <w:szCs w:val="44"/>
        </w:rPr>
      </w:pPr>
      <w:r>
        <w:rPr>
          <w:rFonts w:hint="default" w:ascii="Times New Roman" w:hAnsi="Times New Roman" w:eastAsia="仿宋_GB2312" w:cs="Times New Roman"/>
          <w:b/>
          <w:bCs/>
          <w:sz w:val="44"/>
          <w:szCs w:val="44"/>
        </w:rPr>
        <w:t>Supplier Code of Conduct</w:t>
      </w:r>
    </w:p>
    <w:p>
      <w:pPr>
        <w:snapToGrid w:val="0"/>
        <w:spacing w:after="0" w:line="560" w:lineRule="exact"/>
        <w:ind w:firstLine="640" w:firstLineChars="200"/>
        <w:rPr>
          <w:rFonts w:ascii="仿宋_GB2312" w:hAnsi="仿宋_GB2312" w:eastAsia="仿宋_GB2312" w:cs="仿宋_GB2312"/>
          <w:snapToGrid w:val="0"/>
          <w:color w:val="000000"/>
          <w:sz w:val="32"/>
          <w:szCs w:val="32"/>
        </w:rPr>
      </w:pPr>
    </w:p>
    <w:p>
      <w:pPr>
        <w:pStyle w:val="4"/>
        <w:snapToGrid w:val="0"/>
        <w:spacing w:before="0" w:after="0" w:line="560" w:lineRule="exact"/>
        <w:ind w:firstLine="640" w:firstLineChars="200"/>
        <w:jc w:val="both"/>
        <w:rPr>
          <w:rFonts w:ascii="Times New Roman" w:hAnsi="Times New Roman" w:cs="Times New Roman"/>
          <w:sz w:val="32"/>
          <w:szCs w:val="32"/>
        </w:rPr>
      </w:pPr>
      <w:r>
        <w:rPr>
          <w:rFonts w:hint="eastAsia" w:ascii="仿宋_GB2312" w:hAnsi="仿宋_GB2312" w:eastAsia="仿宋_GB2312" w:cs="仿宋_GB2312"/>
          <w:b w:val="0"/>
          <w:bCs w:val="0"/>
          <w:snapToGrid w:val="0"/>
          <w:color w:val="000000"/>
        </w:rPr>
        <w:t>中国神华积极开展环境、社会和治理（以下简称</w:t>
      </w:r>
      <w:r>
        <w:rPr>
          <w:rFonts w:hint="default" w:ascii="Times New Roman" w:hAnsi="Times New Roman" w:eastAsia="仿宋_GB2312" w:cs="Times New Roman"/>
          <w:b w:val="0"/>
          <w:bCs w:val="0"/>
          <w:snapToGrid w:val="0"/>
          <w:color w:val="000000"/>
        </w:rPr>
        <w:t>ESG</w:t>
      </w:r>
      <w:r>
        <w:rPr>
          <w:rFonts w:hint="eastAsia" w:ascii="仿宋_GB2312" w:hAnsi="仿宋_GB2312" w:eastAsia="仿宋_GB2312" w:cs="仿宋_GB2312"/>
          <w:b w:val="0"/>
          <w:bCs w:val="0"/>
          <w:snapToGrid w:val="0"/>
          <w:color w:val="000000"/>
        </w:rPr>
        <w:t>）管理，将可持续发展理念融入企业战略和经营管理中，并推进各方共同参与。为</w:t>
      </w:r>
      <w:r>
        <w:rPr>
          <w:rFonts w:hint="eastAsia" w:ascii="仿宋_GB2312" w:hAnsi="仿宋_GB2312" w:eastAsia="仿宋_GB2312" w:cs="仿宋_GB2312"/>
          <w:b w:val="0"/>
          <w:bCs w:val="0"/>
          <w:snapToGrid w:val="0"/>
          <w:color w:val="000000"/>
          <w:lang w:val="en-US" w:eastAsia="zh-CN"/>
        </w:rPr>
        <w:t>明确</w:t>
      </w:r>
      <w:r>
        <w:rPr>
          <w:rFonts w:hint="eastAsia" w:ascii="仿宋_GB2312" w:hAnsi="仿宋_GB2312" w:eastAsia="仿宋_GB2312" w:cs="仿宋_GB2312"/>
          <w:b w:val="0"/>
          <w:bCs w:val="0"/>
          <w:snapToGrid w:val="0"/>
          <w:color w:val="000000"/>
        </w:rPr>
        <w:t>供应商的行为规范，依据国际标准，结合公司实际，提出以下行为准则：</w:t>
      </w:r>
      <w:r>
        <w:rPr>
          <w:rFonts w:hint="default" w:ascii="Times New Roman" w:hAnsi="Times New Roman" w:cs="Times New Roman"/>
          <w:b w:val="0"/>
          <w:bCs w:val="0"/>
          <w:sz w:val="32"/>
          <w:szCs w:val="32"/>
        </w:rPr>
        <w:t>China Shenhua actively promotes Environmental, Social and Governance (ESG) management by integrating sustainability principles into its corporate strategy and business operations, while encouraging the participation of all relevant stakeholders. To establish clear expectations for supplier conduct, China Shenhua has developed the following Code of Conduct based on international standards and in consideration of its operational practices:</w:t>
      </w:r>
    </w:p>
    <w:p>
      <w:pPr>
        <w:pStyle w:val="4"/>
        <w:numPr>
          <w:ilvl w:val="0"/>
          <w:numId w:val="1"/>
        </w:numPr>
        <w:snapToGrid w:val="0"/>
        <w:spacing w:before="0" w:after="0" w:line="560" w:lineRule="exact"/>
        <w:ind w:firstLine="640" w:firstLineChars="200"/>
        <w:jc w:val="both"/>
      </w:pPr>
      <w:r>
        <w:rPr>
          <w:rFonts w:hint="eastAsia" w:ascii="黑体" w:hAnsi="黑体" w:eastAsia="黑体" w:cs="黑体"/>
          <w:b w:val="0"/>
          <w:bCs w:val="0"/>
          <w:snapToGrid w:val="0"/>
          <w:color w:val="000000"/>
        </w:rPr>
        <w:t>劳动与人权</w:t>
      </w:r>
      <w:r>
        <w:rPr>
          <w:rFonts w:hint="default" w:ascii="Times New Roman" w:hAnsi="Times New Roman" w:cs="Times New Roman"/>
          <w:b/>
          <w:bCs/>
          <w:sz w:val="32"/>
          <w:szCs w:val="32"/>
        </w:rPr>
        <w:t>I. Labor and Human Rights</w:t>
      </w:r>
    </w:p>
    <w:p>
      <w:pPr>
        <w:pStyle w:val="4"/>
        <w:numPr>
          <w:ilvl w:val="0"/>
          <w:numId w:val="2"/>
        </w:numPr>
        <w:snapToGrid w:val="0"/>
        <w:spacing w:before="0" w:after="0" w:line="560" w:lineRule="exact"/>
        <w:ind w:left="0" w:firstLine="640"/>
        <w:jc w:val="both"/>
        <w:rPr>
          <w:rFonts w:hint="eastAsia" w:ascii="Times New Roman" w:hAnsi="Times New Roman" w:eastAsia="仿宋_GB2312" w:cs="Times New Roman"/>
          <w:sz w:val="32"/>
          <w:szCs w:val="32"/>
        </w:rPr>
      </w:pPr>
      <w:r>
        <w:rPr>
          <w:rFonts w:hint="eastAsia" w:ascii="仿宋_GB2312" w:hAnsi="仿宋_GB2312" w:eastAsia="仿宋_GB2312" w:cs="仿宋_GB2312"/>
          <w:b w:val="0"/>
          <w:bCs w:val="0"/>
          <w:snapToGrid w:val="0"/>
          <w:color w:val="000000"/>
        </w:rPr>
        <w:t>禁止雇佣童工：鉴别应聘者年龄，发现童工立即停止工作并依法报备。</w:t>
      </w:r>
      <w:r>
        <w:rPr>
          <w:rFonts w:hint="eastAsia" w:ascii="Times New Roman" w:hAnsi="Times New Roman" w:eastAsia="仿宋_GB2312" w:cs="Times New Roman"/>
          <w:b w:val="0"/>
          <w:bCs w:val="0"/>
          <w:sz w:val="32"/>
          <w:szCs w:val="32"/>
        </w:rPr>
        <w:t>1. Prohibition of Child Labor</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Verify the age of job applicants and immediately terminate any employment involving child labor upon discovery, and report such cases in accordance with applicable laws and regulations.</w:t>
      </w:r>
    </w:p>
    <w:p>
      <w:pPr>
        <w:pStyle w:val="4"/>
        <w:numPr>
          <w:ilvl w:val="0"/>
          <w:numId w:val="2"/>
        </w:numPr>
        <w:snapToGrid w:val="0"/>
        <w:spacing w:before="0" w:after="0" w:line="560" w:lineRule="exact"/>
        <w:ind w:left="0" w:firstLine="640"/>
        <w:jc w:val="both"/>
        <w:rPr>
          <w:rFonts w:hint="default" w:ascii="Times New Roman" w:hAnsi="Times New Roman" w:eastAsia="仿宋_GB2312" w:cs="Times New Roman"/>
          <w:sz w:val="32"/>
          <w:szCs w:val="32"/>
        </w:rPr>
      </w:pPr>
      <w:r>
        <w:rPr>
          <w:rFonts w:hint="eastAsia" w:ascii="仿宋_GB2312" w:hAnsi="仿宋_GB2312" w:eastAsia="仿宋_GB2312" w:cs="仿宋_GB2312"/>
          <w:b w:val="0"/>
          <w:bCs w:val="0"/>
          <w:snapToGrid w:val="0"/>
          <w:color w:val="000000"/>
        </w:rPr>
        <w:t>禁止强迫劳动：禁止强制劳动或非自愿劳动，杜绝限制员工行动自由的行为。</w:t>
      </w:r>
      <w:r>
        <w:rPr>
          <w:rFonts w:hint="default" w:ascii="Times New Roman" w:hAnsi="Times New Roman" w:eastAsia="仿宋_GB2312" w:cs="Times New Roman"/>
          <w:b w:val="0"/>
          <w:bCs w:val="0"/>
          <w:sz w:val="32"/>
          <w:szCs w:val="32"/>
        </w:rPr>
        <w:t>2. Prohibition of Forced Labor</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Prohibit all forms of forced or involuntary labor and eliminate any practices that restrict employees’ freedom of movement.</w:t>
      </w:r>
    </w:p>
    <w:p>
      <w:pPr>
        <w:pStyle w:val="4"/>
        <w:numPr>
          <w:ilvl w:val="0"/>
          <w:numId w:val="2"/>
        </w:numPr>
        <w:snapToGrid w:val="0"/>
        <w:spacing w:before="0" w:after="0" w:line="560" w:lineRule="exact"/>
        <w:ind w:left="0" w:firstLine="640"/>
        <w:jc w:val="both"/>
        <w:rPr>
          <w:rFonts w:hint="eastAsia" w:ascii="Times New Roman" w:hAnsi="Times New Roman" w:eastAsia="仿宋_GB2312" w:cs="Times New Roman"/>
          <w:sz w:val="32"/>
          <w:szCs w:val="32"/>
        </w:rPr>
      </w:pPr>
      <w:r>
        <w:rPr>
          <w:rFonts w:hint="eastAsia" w:ascii="仿宋_GB2312" w:hAnsi="仿宋_GB2312" w:eastAsia="仿宋_GB2312" w:cs="仿宋_GB2312"/>
          <w:b w:val="0"/>
          <w:bCs w:val="0"/>
          <w:snapToGrid w:val="0"/>
          <w:color w:val="000000"/>
        </w:rPr>
        <w:t>保障工作条件：遵守工作时间的规定，按时足额支付工资（工资不低于法定标准、行业标准或集体协议标准中较高者），依法提供福利。</w:t>
      </w:r>
      <w:r>
        <w:rPr>
          <w:rFonts w:hint="eastAsia" w:ascii="Times New Roman" w:hAnsi="Times New Roman" w:eastAsia="仿宋_GB2312" w:cs="Times New Roman"/>
          <w:b w:val="0"/>
          <w:bCs w:val="0"/>
          <w:sz w:val="32"/>
          <w:szCs w:val="32"/>
        </w:rPr>
        <w:t>3. Protection of Working Conditions</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Comply with applicable regulations on working hours, pay wages in full and on time at a level no lower than the highest applicable legal minimum wage, industry standard, or collective bargaining agreement, and provide benefits in accordance with the law.</w:t>
      </w:r>
    </w:p>
    <w:p>
      <w:pPr>
        <w:pStyle w:val="4"/>
        <w:numPr>
          <w:ilvl w:val="0"/>
          <w:numId w:val="2"/>
        </w:numPr>
        <w:snapToGrid w:val="0"/>
        <w:spacing w:before="0" w:after="0" w:line="560" w:lineRule="exact"/>
        <w:ind w:left="0" w:firstLine="640"/>
        <w:jc w:val="both"/>
        <w:rPr>
          <w:rFonts w:ascii="仿宋_GB2312" w:hAnsi="仿宋_GB2312" w:eastAsia="仿宋_GB2312" w:cs="仿宋_GB2312"/>
          <w:b w:val="0"/>
          <w:bCs w:val="0"/>
          <w:snapToGrid w:val="0"/>
          <w:color w:val="000000"/>
        </w:rPr>
      </w:pPr>
      <w:r>
        <w:rPr>
          <w:rFonts w:hint="eastAsia" w:ascii="仿宋_GB2312" w:hAnsi="仿宋_GB2312" w:eastAsia="仿宋_GB2312" w:cs="仿宋_GB2312"/>
          <w:b w:val="0"/>
          <w:bCs w:val="0"/>
          <w:snapToGrid w:val="0"/>
          <w:color w:val="000000"/>
        </w:rPr>
        <w:t>保障职业健康安全：提供安全工作环境，建立职业健康安全管理体系；建立工伤预防、报告、处理机制，购买工伤保险；定期组织职业病检查并建档，对职业病患者及时治疗并调岗保护。</w:t>
      </w:r>
    </w:p>
    <w:p>
      <w:pPr>
        <w:pStyle w:val="2"/>
        <w:ind w:firstLine="0"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 Protection of Occupational Health and Safety</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Provide a safe working environment and establish an occupational health and safety management system; implement mechanisms for the prevention, reporting, and handling of workplace injuries, and maintain workers</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compensation insurance as required by law; conduct regular occupational health examinations and maintain relevant records; provide timely treatment and appropriate job reassignment or protection measures for employees diagnosed with occupational diseases.</w:t>
      </w:r>
    </w:p>
    <w:p>
      <w:pPr>
        <w:pStyle w:val="4"/>
        <w:numPr>
          <w:ilvl w:val="0"/>
          <w:numId w:val="2"/>
        </w:numPr>
        <w:snapToGrid w:val="0"/>
        <w:spacing w:before="0" w:after="0" w:line="560" w:lineRule="exact"/>
        <w:ind w:left="0" w:firstLine="640"/>
        <w:jc w:val="both"/>
        <w:rPr>
          <w:rFonts w:hint="eastAsia" w:ascii="Times New Roman" w:hAnsi="Times New Roman" w:eastAsia="仿宋_GB2312" w:cs="Times New Roman"/>
          <w:sz w:val="32"/>
          <w:szCs w:val="32"/>
        </w:rPr>
      </w:pPr>
      <w:r>
        <w:rPr>
          <w:rFonts w:hint="eastAsia" w:ascii="仿宋_GB2312" w:hAnsi="仿宋_GB2312" w:eastAsia="仿宋_GB2312" w:cs="仿宋_GB2312"/>
          <w:b w:val="0"/>
          <w:bCs w:val="0"/>
          <w:snapToGrid w:val="0"/>
          <w:color w:val="000000"/>
        </w:rPr>
        <w:t>反歧视与骚扰：禁止因种族、性别、年龄、残疾等因素歧视员工，禁止暴力惩戒及非人道对待员工。</w:t>
      </w:r>
      <w:r>
        <w:rPr>
          <w:rFonts w:hint="eastAsia" w:ascii="Times New Roman" w:hAnsi="Times New Roman" w:eastAsia="仿宋_GB2312" w:cs="Times New Roman"/>
          <w:b w:val="0"/>
          <w:bCs w:val="0"/>
          <w:sz w:val="32"/>
          <w:szCs w:val="32"/>
        </w:rPr>
        <w:t>5. Non-Discrimination and Anti-Harassment</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Prohibit discrimination against employees on the basis of race, gender, age, disability, or other protected characteristics, and prohibit corporal punishment, violence, harassment, abuse, or any other form of inhumane treatment.</w:t>
      </w:r>
    </w:p>
    <w:p>
      <w:pPr>
        <w:pStyle w:val="4"/>
        <w:numPr>
          <w:ilvl w:val="0"/>
          <w:numId w:val="1"/>
        </w:numPr>
        <w:snapToGrid w:val="0"/>
        <w:spacing w:before="0" w:after="0" w:line="560" w:lineRule="exact"/>
        <w:ind w:left="0" w:leftChars="0" w:firstLine="640" w:firstLineChars="200"/>
        <w:jc w:val="both"/>
        <w:rPr>
          <w:rFonts w:hint="eastAsia" w:ascii="Times New Roman" w:hAnsi="Times New Roman" w:cs="Times New Roman"/>
          <w:b/>
          <w:bCs/>
          <w:sz w:val="32"/>
          <w:szCs w:val="32"/>
        </w:rPr>
      </w:pPr>
      <w:r>
        <w:rPr>
          <w:rFonts w:hint="eastAsia" w:ascii="黑体" w:hAnsi="黑体" w:eastAsia="黑体" w:cs="黑体"/>
          <w:b w:val="0"/>
          <w:bCs w:val="0"/>
          <w:snapToGrid w:val="0"/>
          <w:color w:val="000000"/>
        </w:rPr>
        <w:t>社会</w:t>
      </w:r>
      <w:r>
        <w:rPr>
          <w:rFonts w:hint="eastAsia" w:ascii="Times New Roman" w:hAnsi="Times New Roman" w:cs="Times New Roman"/>
          <w:b/>
          <w:bCs/>
          <w:sz w:val="32"/>
          <w:szCs w:val="32"/>
        </w:rPr>
        <w:t>II. Social</w:t>
      </w:r>
    </w:p>
    <w:p>
      <w:pPr>
        <w:pStyle w:val="4"/>
        <w:numPr>
          <w:ilvl w:val="0"/>
          <w:numId w:val="2"/>
        </w:numPr>
        <w:snapToGrid w:val="0"/>
        <w:spacing w:before="0" w:after="0" w:line="560" w:lineRule="exact"/>
        <w:ind w:left="0" w:firstLine="640"/>
        <w:jc w:val="both"/>
        <w:rPr>
          <w:rFonts w:hint="eastAsia" w:ascii="Times New Roman" w:hAnsi="Times New Roman" w:cs="Times New Roman"/>
          <w:sz w:val="32"/>
          <w:szCs w:val="32"/>
        </w:rPr>
      </w:pPr>
      <w:r>
        <w:rPr>
          <w:rFonts w:hint="eastAsia" w:ascii="仿宋_GB2312" w:hAnsi="仿宋_GB2312" w:eastAsia="仿宋_GB2312" w:cs="仿宋_GB2312"/>
          <w:b w:val="0"/>
          <w:bCs w:val="0"/>
          <w:snapToGrid w:val="0"/>
          <w:color w:val="000000"/>
        </w:rPr>
        <w:t>应急准备：识别潜在紧急情况，制定并实施应急预案，最大限度降低对生命、环境和财产的损害。</w:t>
      </w:r>
      <w:r>
        <w:rPr>
          <w:rFonts w:hint="eastAsia" w:ascii="Times New Roman" w:hAnsi="Times New Roman" w:cs="Times New Roman"/>
          <w:b w:val="0"/>
          <w:bCs w:val="0"/>
          <w:sz w:val="32"/>
          <w:szCs w:val="32"/>
        </w:rPr>
        <w:t>6. Emergency Preparedness</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Identify potential emergency situations and develop and implement appropriate emergency response plans to minimize harm to human life, the environment, and property.</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社区参与与发展：尊重当地文化及合法权益，避免损害社区利益；项目开展前与社区居民充分沟通，减少负面影响。</w:t>
      </w:r>
      <w:r>
        <w:rPr>
          <w:rFonts w:hint="eastAsia" w:ascii="Times New Roman" w:hAnsi="Times New Roman" w:cs="Times New Roman"/>
          <w:b w:val="0"/>
          <w:bCs w:val="0"/>
          <w:sz w:val="32"/>
          <w:szCs w:val="32"/>
        </w:rPr>
        <w:t>7. Community Engagement and Development</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Respect local cultures and the legitimate rights and interests of local communities, and avoid actions that may adversely affect community well-being. Prior to project implementation, engage in adequate communication and consultation with local residents to minimize potential negative impacts.</w:t>
      </w:r>
    </w:p>
    <w:p>
      <w:pPr>
        <w:pStyle w:val="4"/>
        <w:numPr>
          <w:ilvl w:val="0"/>
          <w:numId w:val="2"/>
        </w:numPr>
        <w:snapToGrid w:val="0"/>
        <w:spacing w:before="0" w:after="0" w:line="560" w:lineRule="exact"/>
        <w:ind w:left="0" w:firstLine="640"/>
        <w:jc w:val="both"/>
        <w:rPr>
          <w:rFonts w:ascii="Times New Roman" w:hAnsi="Times New Roman" w:cs="Times New Roman"/>
          <w:sz w:val="32"/>
          <w:szCs w:val="32"/>
        </w:rPr>
      </w:pPr>
      <w:r>
        <w:rPr>
          <w:rFonts w:hint="eastAsia" w:ascii="仿宋_GB2312" w:hAnsi="仿宋_GB2312" w:eastAsia="仿宋_GB2312" w:cs="仿宋_GB2312"/>
          <w:b w:val="0"/>
          <w:bCs w:val="0"/>
          <w:snapToGrid w:val="0"/>
          <w:color w:val="000000"/>
        </w:rPr>
        <w:t>践行负责任采购：不采购或使用违反劳工权益的产品或原材料，遵守所在地法律及本行为准则的要求。</w:t>
      </w:r>
      <w:r>
        <w:rPr>
          <w:rFonts w:hint="eastAsia" w:ascii="Times New Roman" w:hAnsi="Times New Roman" w:cs="Times New Roman"/>
          <w:b w:val="0"/>
          <w:bCs w:val="0"/>
          <w:sz w:val="32"/>
          <w:szCs w:val="32"/>
        </w:rPr>
        <w:t>8. Responsible Procurement</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Refrain from procuring or using products, materials  associated with violations of labor rights. Comply with applicable laws and regulations in the jurisdiction of operation, as well as the requirements set forth in this Code of Conduct.</w:t>
      </w:r>
    </w:p>
    <w:p>
      <w:pPr>
        <w:pStyle w:val="4"/>
        <w:numPr>
          <w:ilvl w:val="0"/>
          <w:numId w:val="1"/>
        </w:numPr>
        <w:snapToGrid w:val="0"/>
        <w:spacing w:before="0" w:after="0" w:line="560" w:lineRule="exact"/>
        <w:ind w:left="0" w:leftChars="0" w:firstLine="640" w:firstLineChars="200"/>
        <w:jc w:val="both"/>
        <w:rPr>
          <w:rFonts w:hint="eastAsia" w:ascii="Times New Roman" w:hAnsi="Times New Roman" w:cs="Times New Roman"/>
          <w:b/>
          <w:bCs/>
          <w:sz w:val="32"/>
          <w:szCs w:val="32"/>
        </w:rPr>
      </w:pPr>
      <w:r>
        <w:rPr>
          <w:rFonts w:hint="eastAsia" w:ascii="黑体" w:hAnsi="黑体" w:eastAsia="黑体" w:cs="黑体"/>
          <w:b w:val="0"/>
          <w:bCs w:val="0"/>
          <w:snapToGrid w:val="0"/>
          <w:color w:val="000000"/>
        </w:rPr>
        <w:t>环境</w:t>
      </w:r>
      <w:r>
        <w:rPr>
          <w:rFonts w:hint="eastAsia" w:ascii="Times New Roman" w:hAnsi="Times New Roman" w:cs="Times New Roman"/>
          <w:b/>
          <w:bCs/>
          <w:sz w:val="32"/>
          <w:szCs w:val="32"/>
        </w:rPr>
        <w:t>III. Environment</w:t>
      </w:r>
    </w:p>
    <w:p>
      <w:pPr>
        <w:pStyle w:val="4"/>
        <w:numPr>
          <w:ilvl w:val="0"/>
          <w:numId w:val="2"/>
        </w:numPr>
        <w:snapToGrid w:val="0"/>
        <w:spacing w:before="0" w:after="0" w:line="560" w:lineRule="exact"/>
        <w:ind w:left="0" w:firstLine="640"/>
        <w:jc w:val="both"/>
        <w:rPr>
          <w:rFonts w:hint="eastAsia" w:ascii="Times New Roman" w:hAnsi="Times New Roman" w:cs="Times New Roman"/>
          <w:sz w:val="32"/>
          <w:szCs w:val="32"/>
        </w:rPr>
      </w:pPr>
      <w:r>
        <w:rPr>
          <w:rFonts w:hint="eastAsia" w:ascii="仿宋_GB2312" w:hAnsi="仿宋_GB2312" w:eastAsia="仿宋_GB2312" w:cs="仿宋_GB2312"/>
          <w:b w:val="0"/>
          <w:bCs w:val="0"/>
          <w:snapToGrid w:val="0"/>
          <w:color w:val="000000"/>
        </w:rPr>
        <w:t>合规管理：遵守环境法规，主动向中国神华披露近三年重大环境事故，不得隐瞒违法违规行为。</w:t>
      </w:r>
      <w:r>
        <w:rPr>
          <w:rFonts w:hint="eastAsia" w:ascii="Times New Roman" w:hAnsi="Times New Roman" w:cs="Times New Roman"/>
          <w:b w:val="0"/>
          <w:bCs w:val="0"/>
          <w:sz w:val="32"/>
          <w:szCs w:val="32"/>
        </w:rPr>
        <w:t>9. Environmental Compliance</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Comply with all applicable environmental laws and regulations, proactively disclose any material environmental incidents that have occurred within the past three years to China Shenhua, and refrain from concealing any environmental violations or non-compliance.</w:t>
      </w:r>
    </w:p>
    <w:p>
      <w:pPr>
        <w:pStyle w:val="4"/>
        <w:numPr>
          <w:ilvl w:val="0"/>
          <w:numId w:val="2"/>
        </w:numPr>
        <w:snapToGrid w:val="0"/>
        <w:spacing w:before="0" w:after="0" w:line="560" w:lineRule="exact"/>
        <w:ind w:left="0" w:firstLine="640"/>
        <w:jc w:val="both"/>
        <w:rPr>
          <w:rFonts w:hint="eastAsia" w:ascii="Times New Roman" w:hAnsi="Times New Roman" w:cs="Times New Roman"/>
          <w:sz w:val="32"/>
          <w:szCs w:val="32"/>
        </w:rPr>
      </w:pPr>
      <w:r>
        <w:rPr>
          <w:rFonts w:hint="eastAsia" w:ascii="仿宋_GB2312" w:hAnsi="仿宋_GB2312" w:eastAsia="仿宋_GB2312" w:cs="仿宋_GB2312"/>
          <w:b w:val="0"/>
          <w:bCs w:val="0"/>
          <w:snapToGrid w:val="0"/>
          <w:color w:val="000000"/>
        </w:rPr>
        <w:t>节约资源：提高资源使用效率，采用节能环保技术，促进节能减排。</w:t>
      </w:r>
      <w:r>
        <w:rPr>
          <w:rFonts w:hint="eastAsia" w:ascii="Times New Roman" w:hAnsi="Times New Roman" w:cs="Times New Roman"/>
          <w:b w:val="0"/>
          <w:bCs w:val="0"/>
          <w:sz w:val="32"/>
          <w:szCs w:val="32"/>
        </w:rPr>
        <w:t>10. Resource Conservation</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Improve resource efficiency, adopt energy-saving and environmentally friendly technologies, and promote energy conservation and emissions reduction.</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防治污染：减少固体废弃物、大气污染物、废水等环境污染</w:t>
      </w:r>
      <w:r>
        <w:rPr>
          <w:rFonts w:hint="eastAsia" w:ascii="仿宋_GB2312" w:hAnsi="仿宋_GB2312" w:eastAsia="仿宋_GB2312" w:cs="仿宋_GB2312"/>
          <w:b w:val="0"/>
          <w:bCs w:val="0"/>
          <w:snapToGrid w:val="0"/>
          <w:color w:val="000000"/>
          <w:lang w:val="en-US" w:eastAsia="zh-CN"/>
        </w:rPr>
        <w:t>物</w:t>
      </w:r>
      <w:r>
        <w:rPr>
          <w:rFonts w:hint="eastAsia" w:ascii="仿宋_GB2312" w:hAnsi="仿宋_GB2312" w:eastAsia="仿宋_GB2312" w:cs="仿宋_GB2312"/>
          <w:b w:val="0"/>
          <w:bCs w:val="0"/>
          <w:snapToGrid w:val="0"/>
          <w:color w:val="000000"/>
        </w:rPr>
        <w:t>排放，排放前按要求鉴别、监测、控制和处理。</w:t>
      </w:r>
      <w:r>
        <w:rPr>
          <w:rFonts w:hint="eastAsia" w:ascii="Times New Roman" w:hAnsi="Times New Roman" w:cs="Times New Roman"/>
          <w:b w:val="0"/>
          <w:bCs w:val="0"/>
          <w:sz w:val="32"/>
          <w:szCs w:val="32"/>
        </w:rPr>
        <w:t>11. Pollution Prevention and Control</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Reduce the generation and discharge of environmental pollutants, including solid waste, air emissions, and wastewater. Such pollutants shall be identified, monitored, controlled, and treated in accordance with applicable requirements prior to discharge.</w:t>
      </w:r>
    </w:p>
    <w:p>
      <w:pPr>
        <w:pStyle w:val="4"/>
        <w:numPr>
          <w:ilvl w:val="0"/>
          <w:numId w:val="2"/>
        </w:numPr>
        <w:snapToGrid w:val="0"/>
        <w:spacing w:before="0" w:after="0" w:line="560" w:lineRule="exact"/>
        <w:ind w:left="0" w:firstLine="640"/>
        <w:jc w:val="both"/>
        <w:rPr>
          <w:rFonts w:hint="eastAsia" w:ascii="Times New Roman" w:hAnsi="Times New Roman" w:cs="Times New Roman"/>
          <w:sz w:val="32"/>
          <w:szCs w:val="32"/>
        </w:rPr>
      </w:pPr>
      <w:r>
        <w:rPr>
          <w:rFonts w:hint="eastAsia" w:ascii="仿宋_GB2312" w:hAnsi="仿宋_GB2312" w:eastAsia="仿宋_GB2312" w:cs="仿宋_GB2312"/>
          <w:b w:val="0"/>
          <w:bCs w:val="0"/>
          <w:snapToGrid w:val="0"/>
          <w:color w:val="000000"/>
        </w:rPr>
        <w:t>有害物质管理：识别并安全运输、存储、使用、回收或处置有害物质。</w:t>
      </w:r>
      <w:r>
        <w:rPr>
          <w:rFonts w:hint="eastAsia" w:ascii="Times New Roman" w:hAnsi="Times New Roman" w:cs="Times New Roman"/>
          <w:b w:val="0"/>
          <w:bCs w:val="0"/>
          <w:sz w:val="32"/>
          <w:szCs w:val="32"/>
        </w:rPr>
        <w:t>12. Hazardous Materials Management</w:t>
      </w:r>
      <w:r>
        <w:rPr>
          <w:rFonts w:hint="eastAsia"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rPr>
        <w:t>Identify hazardous materials and ensure their safe transportation, storage, use, recycling, and disposal.</w:t>
      </w:r>
    </w:p>
    <w:p>
      <w:pPr>
        <w:pStyle w:val="4"/>
        <w:numPr>
          <w:ilvl w:val="0"/>
          <w:numId w:val="2"/>
        </w:numPr>
        <w:snapToGrid w:val="0"/>
        <w:spacing w:before="0" w:after="0" w:line="560" w:lineRule="exact"/>
        <w:ind w:left="0" w:firstLine="640"/>
        <w:jc w:val="both"/>
      </w:pPr>
      <w:r>
        <w:rPr>
          <w:rFonts w:hint="eastAsia" w:ascii="仿宋_GB2312" w:hAnsi="仿宋_GB2312" w:eastAsia="仿宋_GB2312" w:cs="仿宋_GB2312"/>
          <w:b w:val="0"/>
          <w:bCs w:val="0"/>
          <w:snapToGrid w:val="0"/>
          <w:color w:val="000000"/>
        </w:rPr>
        <w:t>应对气候变化：支持全球气候协定目标，寻找节能减排途径；识别温室气体排放并</w:t>
      </w:r>
      <w:r>
        <w:rPr>
          <w:rFonts w:hint="eastAsia" w:ascii="仿宋_GB2312" w:hAnsi="仿宋_GB2312" w:eastAsia="仿宋_GB2312" w:cs="仿宋_GB2312"/>
          <w:b w:val="0"/>
          <w:bCs w:val="0"/>
          <w:snapToGrid w:val="0"/>
          <w:color w:val="000000"/>
          <w:lang w:val="en-US" w:eastAsia="zh-CN"/>
        </w:rPr>
        <w:t>设定</w:t>
      </w:r>
      <w:r>
        <w:rPr>
          <w:rFonts w:hint="eastAsia" w:ascii="仿宋_GB2312" w:hAnsi="仿宋_GB2312" w:eastAsia="仿宋_GB2312" w:cs="仿宋_GB2312"/>
          <w:b w:val="0"/>
          <w:bCs w:val="0"/>
          <w:snapToGrid w:val="0"/>
          <w:color w:val="000000"/>
        </w:rPr>
        <w:t>减排目标。</w:t>
      </w:r>
      <w:r>
        <w:rPr>
          <w:rFonts w:hint="eastAsia" w:ascii="Times New Roman" w:hAnsi="Times New Roman" w:cs="Times New Roman"/>
          <w:b w:val="0"/>
          <w:bCs w:val="0"/>
          <w:sz w:val="32"/>
          <w:szCs w:val="32"/>
        </w:rPr>
        <w:t>13. Climate Change Response</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Support the objectives of global climate agreements and actively explore opportunities for energy conservation and emissions reduction. Identify greenhouse gas emissions and establish corresponding emissions reduction targets.</w:t>
      </w:r>
    </w:p>
    <w:p>
      <w:pPr>
        <w:pStyle w:val="4"/>
        <w:numPr>
          <w:ilvl w:val="0"/>
          <w:numId w:val="2"/>
        </w:numPr>
        <w:snapToGrid w:val="0"/>
        <w:spacing w:before="0" w:after="0" w:line="560" w:lineRule="exact"/>
        <w:ind w:left="0" w:firstLine="640"/>
        <w:jc w:val="both"/>
        <w:rPr>
          <w:rFonts w:ascii="Times New Roman" w:hAnsi="Times New Roman" w:cs="Times New Roman"/>
          <w:sz w:val="32"/>
          <w:szCs w:val="32"/>
        </w:rPr>
      </w:pPr>
      <w:r>
        <w:rPr>
          <w:rFonts w:hint="eastAsia" w:ascii="仿宋_GB2312" w:hAnsi="仿宋_GB2312" w:eastAsia="仿宋_GB2312" w:cs="仿宋_GB2312"/>
          <w:b w:val="0"/>
          <w:bCs w:val="0"/>
          <w:snapToGrid w:val="0"/>
          <w:color w:val="000000"/>
        </w:rPr>
        <w:t>保护生物多样性：遵守法律规定，制定生物多样性保护措施，避免经济活动对生物多样性的负面影响。</w:t>
      </w:r>
      <w:r>
        <w:rPr>
          <w:rFonts w:hint="eastAsia" w:ascii="Times New Roman" w:hAnsi="Times New Roman" w:cs="Times New Roman"/>
          <w:b w:val="0"/>
          <w:bCs w:val="0"/>
          <w:sz w:val="32"/>
          <w:szCs w:val="32"/>
        </w:rPr>
        <w:t>14. Biodiversity Protection</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Comply with applicable legal requirements, implement biodiversity conservation measures, and avoid or minimize adverse impacts of business activities on biodiversity.</w:t>
      </w:r>
    </w:p>
    <w:p>
      <w:pPr>
        <w:pStyle w:val="4"/>
        <w:numPr>
          <w:ilvl w:val="0"/>
          <w:numId w:val="1"/>
        </w:numPr>
        <w:snapToGrid w:val="0"/>
        <w:spacing w:before="0" w:after="0" w:line="560" w:lineRule="exact"/>
        <w:ind w:left="0" w:leftChars="0" w:firstLine="640" w:firstLineChars="200"/>
        <w:jc w:val="both"/>
        <w:rPr>
          <w:rFonts w:hint="eastAsia" w:ascii="Times New Roman" w:hAnsi="Times New Roman" w:cs="Times New Roman"/>
          <w:b/>
          <w:bCs/>
          <w:sz w:val="32"/>
          <w:szCs w:val="32"/>
        </w:rPr>
      </w:pPr>
      <w:r>
        <w:rPr>
          <w:rFonts w:hint="eastAsia" w:ascii="黑体" w:hAnsi="黑体" w:eastAsia="黑体" w:cs="黑体"/>
          <w:b w:val="0"/>
          <w:bCs w:val="0"/>
          <w:snapToGrid w:val="0"/>
          <w:color w:val="000000"/>
        </w:rPr>
        <w:t>商业道德</w:t>
      </w:r>
      <w:r>
        <w:rPr>
          <w:rFonts w:hint="eastAsia" w:ascii="Times New Roman" w:hAnsi="Times New Roman" w:cs="Times New Roman"/>
          <w:b/>
          <w:bCs/>
          <w:sz w:val="32"/>
          <w:szCs w:val="32"/>
        </w:rPr>
        <w:t>IV. Business Ethics</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遵守法律法规：遵守相关法律法规、部门规章、政策及行业标准。</w:t>
      </w:r>
      <w:r>
        <w:rPr>
          <w:rFonts w:hint="eastAsia" w:ascii="Times New Roman" w:hAnsi="Times New Roman" w:cs="Times New Roman"/>
          <w:b w:val="0"/>
          <w:bCs w:val="0"/>
          <w:sz w:val="32"/>
          <w:szCs w:val="32"/>
        </w:rPr>
        <w:t>15. Compliance with Laws and Regulations</w:t>
      </w:r>
      <w:r>
        <w:rPr>
          <w:rFonts w:hint="eastAsia"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rPr>
        <w:t>Comply with all applicable laws and regulations, administrative rules, policies, and industry standards.</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反不正当竞争：维护公平竞争，禁止垄断、恶意低价倾销、商业诋毁等不正当手段。</w:t>
      </w:r>
      <w:r>
        <w:rPr>
          <w:rFonts w:hint="eastAsia" w:ascii="Times New Roman" w:hAnsi="Times New Roman" w:cs="Times New Roman"/>
          <w:b w:val="0"/>
          <w:bCs w:val="0"/>
          <w:sz w:val="32"/>
          <w:szCs w:val="32"/>
        </w:rPr>
        <w:t>16. Fair Competition</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Uphold the principles of fair competition and prohibit anti-competitive practices, including monopolistic conduct, predatory pricing, commercial defamation, and other unfair competitive behaviors.</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反腐败：制定反腐败政策，禁止索取、收受或提供贿赂、回扣等不正当</w:t>
      </w:r>
      <w:r>
        <w:rPr>
          <w:rFonts w:hint="eastAsia" w:ascii="仿宋_GB2312" w:hAnsi="仿宋_GB2312" w:eastAsia="仿宋_GB2312" w:cs="仿宋_GB2312"/>
          <w:b w:val="0"/>
          <w:bCs w:val="0"/>
          <w:snapToGrid w:val="0"/>
          <w:color w:val="000000"/>
          <w:lang w:val="en-US" w:eastAsia="zh-CN"/>
        </w:rPr>
        <w:t>行为</w:t>
      </w:r>
      <w:r>
        <w:rPr>
          <w:rFonts w:hint="eastAsia" w:ascii="仿宋_GB2312" w:hAnsi="仿宋_GB2312" w:eastAsia="仿宋_GB2312" w:cs="仿宋_GB2312"/>
          <w:b w:val="0"/>
          <w:bCs w:val="0"/>
          <w:snapToGrid w:val="0"/>
          <w:color w:val="000000"/>
        </w:rPr>
        <w:t>。</w:t>
      </w:r>
      <w:r>
        <w:rPr>
          <w:rFonts w:hint="eastAsia" w:ascii="Times New Roman" w:hAnsi="Times New Roman" w:cs="Times New Roman"/>
          <w:b w:val="0"/>
          <w:bCs w:val="0"/>
          <w:sz w:val="32"/>
          <w:szCs w:val="32"/>
        </w:rPr>
        <w:t>17. Anti-Corruption</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Establish and implement anti-corruption policies and prohibit the solicitation, acceptance, offering, or provision of bribes, kickbacks, or any other improper benefits.</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保护知识产权：建立完善的知识产权管理体系，尊重他人知识产权，避免侵权行为发生。</w:t>
      </w:r>
      <w:r>
        <w:rPr>
          <w:rFonts w:hint="eastAsia" w:ascii="Times New Roman" w:hAnsi="Times New Roman" w:cs="Times New Roman"/>
          <w:b w:val="0"/>
          <w:bCs w:val="0"/>
          <w:sz w:val="32"/>
          <w:szCs w:val="32"/>
        </w:rPr>
        <w:t>18. Intellectual Property Protection</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Establish a sound intellectual property management system, respect the intellectual property rights of others, and prevent infringement of intellectual property rights.</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保护数据隐私：遵守数据隐私法规，不得擅自泄露客户数据信息与隐私或将其用于约定外用途。</w:t>
      </w:r>
      <w:r>
        <w:rPr>
          <w:rFonts w:hint="eastAsia" w:ascii="Times New Roman" w:hAnsi="Times New Roman" w:cs="Times New Roman"/>
          <w:b w:val="0"/>
          <w:bCs w:val="0"/>
          <w:sz w:val="32"/>
          <w:szCs w:val="32"/>
        </w:rPr>
        <w:t>19. Data Privacy Protection</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Comply with applicable data privacy and protection laws and regulations. Customer data and personal information shall not be disclosed without authorization or used for purposes beyond those agreed upon.</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pPr>
      <w:r>
        <w:rPr>
          <w:rFonts w:hint="eastAsia" w:ascii="仿宋_GB2312" w:hAnsi="仿宋_GB2312" w:eastAsia="仿宋_GB2312" w:cs="仿宋_GB2312"/>
          <w:b w:val="0"/>
          <w:bCs w:val="0"/>
          <w:snapToGrid w:val="0"/>
          <w:color w:val="000000"/>
        </w:rPr>
        <w:t>解决利益冲突：建立利益冲突申报机制，要求员工主动申报与业务相关的个人利益关联。</w:t>
      </w:r>
      <w:r>
        <w:rPr>
          <w:rFonts w:hint="eastAsia" w:ascii="Times New Roman" w:hAnsi="Times New Roman" w:cs="Times New Roman"/>
          <w:b w:val="0"/>
          <w:bCs w:val="0"/>
          <w:sz w:val="32"/>
          <w:szCs w:val="32"/>
        </w:rPr>
        <w:t>20. Management of Conflicts of Interest</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Establish a conflict-of-interest disclosure mechanism and require employees to proactively disclose any personal interests or relationships that may affect business decisions or activities.</w:t>
      </w:r>
    </w:p>
    <w:p>
      <w:pPr>
        <w:pStyle w:val="4"/>
        <w:numPr>
          <w:ilvl w:val="0"/>
          <w:numId w:val="2"/>
        </w:numPr>
        <w:snapToGrid w:val="0"/>
        <w:spacing w:before="0" w:after="0" w:line="560" w:lineRule="exact"/>
        <w:ind w:left="0" w:firstLine="640"/>
        <w:jc w:val="both"/>
        <w:rPr>
          <w:rFonts w:hint="eastAsia" w:ascii="Times New Roman" w:hAnsi="Times New Roman" w:cs="Times New Roman"/>
          <w:b w:val="0"/>
          <w:bCs w:val="0"/>
          <w:sz w:val="32"/>
          <w:szCs w:val="32"/>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b w:val="0"/>
          <w:bCs w:val="0"/>
          <w:snapToGrid w:val="0"/>
          <w:color w:val="000000"/>
        </w:rPr>
        <w:t>建立申诉机制：设立便捷可靠的申诉渠道，支持匿名</w:t>
      </w:r>
      <w:r>
        <w:rPr>
          <w:rFonts w:hint="eastAsia" w:ascii="仿宋_GB2312" w:hAnsi="仿宋_GB2312" w:eastAsia="仿宋_GB2312" w:cs="仿宋_GB2312"/>
          <w:b w:val="0"/>
          <w:bCs w:val="0"/>
          <w:snapToGrid w:val="0"/>
          <w:color w:val="000000"/>
          <w:lang w:val="en-US" w:eastAsia="zh-CN"/>
        </w:rPr>
        <w:t>申诉</w:t>
      </w:r>
      <w:r>
        <w:rPr>
          <w:rFonts w:hint="eastAsia" w:ascii="仿宋_GB2312" w:hAnsi="仿宋_GB2312" w:eastAsia="仿宋_GB2312" w:cs="仿宋_GB2312"/>
          <w:b w:val="0"/>
          <w:bCs w:val="0"/>
          <w:snapToGrid w:val="0"/>
          <w:color w:val="000000"/>
        </w:rPr>
        <w:t>，保护申诉人安全，禁止打击报复，及时处理反馈。</w:t>
      </w:r>
      <w:r>
        <w:rPr>
          <w:rFonts w:hint="eastAsia" w:ascii="Times New Roman" w:hAnsi="Times New Roman" w:cs="Times New Roman"/>
          <w:b w:val="0"/>
          <w:bCs w:val="0"/>
          <w:sz w:val="32"/>
          <w:szCs w:val="32"/>
        </w:rPr>
        <w:t>21. Grievance and Whistleblowing Mechanism</w:t>
      </w:r>
      <w:r>
        <w:rPr>
          <w:rFonts w:hint="eastAsia" w:ascii="Times New Roman" w:hAnsi="Times New Roman" w:cs="Times New Roman"/>
          <w:b w:val="0"/>
          <w:bCs w:val="0"/>
          <w:sz w:val="32"/>
          <w:szCs w:val="32"/>
          <w:lang w:val="en-US" w:eastAsia="zh-CN"/>
        </w:rPr>
        <w:t xml:space="preserve">: </w:t>
      </w:r>
      <w:r>
        <w:rPr>
          <w:rFonts w:hint="eastAsia" w:ascii="Times New Roman" w:hAnsi="Times New Roman" w:cs="Times New Roman"/>
          <w:b w:val="0"/>
          <w:bCs w:val="0"/>
          <w:sz w:val="32"/>
          <w:szCs w:val="32"/>
        </w:rPr>
        <w:t>Establish accessible and reliable grievance and reporting channels, support anonymous reporting, protect the safety and confidentiality of complainants and whistleblowers, prohibit retaliation, and ensure that complaints and reports are handled and addressed in a timely manner</w:t>
      </w:r>
      <w:r>
        <w:rPr>
          <w:rFonts w:hint="eastAsia" w:ascii="Times New Roman" w:hAnsi="Times New Roman" w:cs="Times New Roman"/>
          <w:b w:val="0"/>
          <w:bCs w:val="0"/>
          <w:sz w:val="32"/>
          <w:szCs w:val="32"/>
          <w:lang w:val="en-US"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DD941"/>
    <w:multiLevelType w:val="singleLevel"/>
    <w:tmpl w:val="969DD941"/>
    <w:lvl w:ilvl="0" w:tentative="0">
      <w:start w:val="1"/>
      <w:numFmt w:val="decimal"/>
      <w:lvlText w:val="%1."/>
      <w:lvlJc w:val="left"/>
      <w:pPr>
        <w:ind w:left="1055" w:hanging="425"/>
      </w:pPr>
      <w:rPr>
        <w:rFonts w:hint="default" w:ascii="Times New Roman" w:hAnsi="Times New Roman" w:cs="Times New Roman"/>
        <w:b w:val="0"/>
        <w:bCs w:val="0"/>
      </w:rPr>
    </w:lvl>
  </w:abstractNum>
  <w:abstractNum w:abstractNumId="1">
    <w:nsid w:val="5B5BD011"/>
    <w:multiLevelType w:val="singleLevel"/>
    <w:tmpl w:val="5B5BD011"/>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35C9C"/>
    <w:rsid w:val="48035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2026-06-15T06:38:00Z</dcterms:created>
  <dc:creator>杨玲04</dc:creator>
  <cp:lastModifiedBy>杨玲04</cp:lastModifiedBy>
  <dcterms:modified xsi:type="dcterms:W3CDTF">2026-06-15T06:40:19Z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2689A3EF8A5C495FB7240EE339B49CD3</vt:lpwstr>
  </property>
</Properties>
</file>